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Equality, Diversity, Inclusion and SEND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Inclusion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all children can access provision safely, fairly, and with reasonable adjustments.</w:t>
      </w:r>
    </w:p>
    <w:p>
      <w:pPr>
        <w:pStyle w:val="Heading1"/>
      </w:pPr>
      <w:r>
        <w:t>Scope</w:t>
      </w:r>
    </w:p>
    <w:p>
      <w:r>
        <w:t>All children, families, staff, volunteers, and visitors engaging with Koala Klubs provision.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Koala Klubs will not unlawfully discriminate.</w:t>
      </w:r>
    </w:p>
    <w:p>
      <w:pPr>
        <w:pStyle w:val="ListBullet"/>
        <w:spacing w:after="40"/>
      </w:pPr>
      <w:r>
        <w:t>Children should be supported through inclusion-focused planning and reasonable adjustments wherever possible.</w:t>
      </w:r>
    </w:p>
    <w:p>
      <w:pPr>
        <w:pStyle w:val="ListBullet"/>
        <w:spacing w:after="40"/>
      </w:pPr>
      <w:r>
        <w:t>Discriminatory behaviour and language will be challenged.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Work with families, schools, and professionals to understand individual needs.</w:t>
      </w:r>
    </w:p>
    <w:p>
      <w:pPr>
        <w:pStyle w:val="ListBullet"/>
        <w:spacing w:after="40"/>
      </w:pPr>
      <w:r>
        <w:t>Adapt activities, communication, staffing, environments, and support plans where possible.</w:t>
      </w:r>
    </w:p>
    <w:p>
      <w:pPr>
        <w:pStyle w:val="ListBullet"/>
        <w:spacing w:after="40"/>
      </w:pPr>
      <w:r>
        <w:t>Use visual supports, structured routines, sensory considerations, and behaviour support linked to need where helpful.</w:t>
      </w:r>
    </w:p>
    <w:p>
      <w:pPr>
        <w:pStyle w:val="ListBullet"/>
        <w:spacing w:after="40"/>
      </w:pPr>
      <w:r>
        <w:t>Escalate where provision cannot safely meet a child's needs on a given day.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Review registration information and support plans before attendance.</w:t>
      </w:r>
    </w:p>
    <w:p>
      <w:pPr>
        <w:pStyle w:val="ListBullet"/>
        <w:spacing w:after="40"/>
      </w:pPr>
      <w:r>
        <w:t>Discuss adjustments with parents and relevant professionals as needed.</w:t>
      </w:r>
    </w:p>
    <w:p>
      <w:pPr>
        <w:pStyle w:val="ListBullet"/>
        <w:spacing w:after="40"/>
      </w:pPr>
      <w:r>
        <w:t>Record key support arrangements and any significant incidents, changes, or access barriers.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Equality, Diversity, Inclusion and SEND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